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39691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6D741CB4" w14:textId="2F656751" w:rsidR="00201C53" w:rsidRPr="00870766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1844C7" w:rsidRPr="00870766">
        <w:rPr>
          <w:rFonts w:ascii="標楷體" w:eastAsia="標楷體" w:hAnsi="標楷體" w:cs="Times New Roman"/>
          <w:sz w:val="28"/>
          <w:szCs w:val="28"/>
        </w:rPr>
        <w:t>11</w:t>
      </w:r>
      <w:r w:rsidR="00F10DEB" w:rsidRPr="00870766">
        <w:rPr>
          <w:rFonts w:ascii="標楷體" w:eastAsia="標楷體" w:hAnsi="標楷體" w:cs="Times New Roman" w:hint="eastAsia"/>
          <w:sz w:val="28"/>
          <w:szCs w:val="28"/>
        </w:rPr>
        <w:t>4CB00</w:t>
      </w:r>
      <w:r w:rsidR="00121F55" w:rsidRPr="00870766">
        <w:rPr>
          <w:rFonts w:ascii="標楷體" w:eastAsia="標楷體" w:hAnsi="標楷體" w:cs="Times New Roman" w:hint="eastAsia"/>
          <w:sz w:val="28"/>
          <w:szCs w:val="28"/>
        </w:rPr>
        <w:t>6</w:t>
      </w:r>
    </w:p>
    <w:p w14:paraId="1A7E120A" w14:textId="2274CED3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1</w:t>
      </w:r>
      <w:r w:rsidR="001844C7">
        <w:rPr>
          <w:rFonts w:ascii="標楷體" w:eastAsia="標楷體" w:hAnsi="標楷體" w:cs="Times New Roman"/>
          <w:b/>
          <w:bCs/>
          <w:sz w:val="28"/>
          <w:szCs w:val="28"/>
        </w:rPr>
        <w:t>1</w:t>
      </w:r>
      <w:r w:rsidR="00F10DEB">
        <w:rPr>
          <w:rFonts w:ascii="標楷體" w:eastAsia="標楷體" w:hAnsi="標楷體" w:cs="Times New Roman" w:hint="eastAsia"/>
          <w:b/>
          <w:bCs/>
          <w:sz w:val="28"/>
          <w:szCs w:val="28"/>
        </w:rPr>
        <w:t>4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年</w:t>
      </w:r>
      <w:r w:rsidR="00F10DEB">
        <w:rPr>
          <w:rFonts w:ascii="標楷體" w:eastAsia="標楷體" w:hAnsi="標楷體" w:cs="Times New Roman" w:hint="eastAsia"/>
          <w:b/>
          <w:bCs/>
          <w:sz w:val="28"/>
          <w:szCs w:val="28"/>
        </w:rPr>
        <w:t>國</w:t>
      </w:r>
      <w:r w:rsidR="00121F55">
        <w:rPr>
          <w:rFonts w:ascii="標楷體" w:eastAsia="標楷體" w:hAnsi="標楷體" w:cs="Times New Roman" w:hint="eastAsia"/>
          <w:b/>
          <w:bCs/>
          <w:sz w:val="28"/>
          <w:szCs w:val="28"/>
        </w:rPr>
        <w:t>外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員工旅遊</w:t>
      </w:r>
    </w:p>
    <w:p w14:paraId="7186CBCB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5B45137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0409C695" w14:textId="1F91F83F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941DED">
        <w:rPr>
          <w:rFonts w:eastAsia="標楷體" w:hint="eastAsia"/>
          <w:kern w:val="0"/>
          <w:sz w:val="28"/>
          <w:szCs w:val="28"/>
          <w:u w:val="single"/>
        </w:rPr>
        <w:t>114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941DED">
        <w:rPr>
          <w:rFonts w:eastAsia="標楷體" w:hint="eastAsia"/>
          <w:kern w:val="0"/>
          <w:sz w:val="28"/>
          <w:szCs w:val="28"/>
          <w:u w:val="single"/>
        </w:rPr>
        <w:t>7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941DED">
        <w:rPr>
          <w:rFonts w:eastAsia="標楷體" w:hint="eastAsia"/>
          <w:kern w:val="0"/>
          <w:sz w:val="28"/>
          <w:szCs w:val="28"/>
          <w:u w:val="single"/>
        </w:rPr>
        <w:t>25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941DED" w:rsidRPr="00941DED">
        <w:rPr>
          <w:rFonts w:eastAsia="標楷體" w:hint="eastAsia"/>
          <w:kern w:val="0"/>
          <w:sz w:val="28"/>
          <w:szCs w:val="28"/>
          <w:u w:val="single"/>
        </w:rPr>
        <w:t>14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941DED">
        <w:rPr>
          <w:rFonts w:eastAsia="標楷體" w:hint="eastAsia"/>
          <w:kern w:val="0"/>
          <w:sz w:val="28"/>
          <w:szCs w:val="28"/>
          <w:u w:val="single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="008C630B">
        <w:rPr>
          <w:rFonts w:eastAsia="標楷體" w:hint="eastAsia"/>
          <w:kern w:val="0"/>
          <w:sz w:val="28"/>
          <w:szCs w:val="28"/>
        </w:rPr>
        <w:t>大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0613F4A2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469CAEA9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人員必須為本案執行團隊成員；不符合前述資格之人員，本會得拒絕其進入評選會場。</w:t>
      </w:r>
    </w:p>
    <w:p w14:paraId="03E57200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應按規定時間、地點進場進行簡報及答詢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如有投標廠商逾時未到場，視同放棄簡報及詢答權利。由評選委員逕行按計畫書內容進行評選，不影響其投標文件之有效性，惟簡報與答詢項目不予計分。</w:t>
      </w:r>
    </w:p>
    <w:p w14:paraId="14530CFF" w14:textId="67BF8044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E76856">
        <w:rPr>
          <w:rFonts w:eastAsia="標楷體" w:hint="eastAsia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分鐘，答詢時間為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</w:t>
      </w:r>
      <w:r w:rsidR="00E76856">
        <w:rPr>
          <w:rFonts w:eastAsia="標楷體" w:hint="eastAsia"/>
          <w:kern w:val="0"/>
          <w:sz w:val="28"/>
          <w:szCs w:val="28"/>
          <w:u w:val="single"/>
        </w:rPr>
        <w:t>0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分鐘，評選委員提問時間另計，並採統問統答方式進行。本會將分別於簡報及詢答時間截止前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分鐘及時間結束時提醒，時間到即須結束簡報或詢答；惟詢答時評選委員會主席得視評選委員提出問題情形酌予延長時間。</w:t>
      </w:r>
    </w:p>
    <w:p w14:paraId="51263F71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941DED">
        <w:rPr>
          <w:rFonts w:ascii="Times New Roman" w:eastAsia="標楷體" w:hAnsi="Times New Roman" w:hint="eastAsia"/>
          <w:sz w:val="28"/>
          <w:szCs w:val="28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435CC3B8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簡報時廠商應自行攜帶簡報設備（例如筆記型電腦），本會僅備投影機供廠商簡報使用；若評選會議需提前進行機器測試需求者，請另洽本案採購承辦人安排測試。</w:t>
      </w:r>
    </w:p>
    <w:p w14:paraId="58CD3260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5312601F" w14:textId="210B9F79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C64A77">
        <w:rPr>
          <w:rFonts w:eastAsia="標楷體" w:hint="eastAsia"/>
          <w:kern w:val="0"/>
          <w:sz w:val="28"/>
          <w:szCs w:val="28"/>
          <w:u w:val="single"/>
        </w:rPr>
        <w:t xml:space="preserve"> </w:t>
      </w:r>
      <w:r w:rsidR="000E7FD8">
        <w:rPr>
          <w:rFonts w:eastAsia="標楷體" w:hint="eastAsia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規格直式橫書編排、雙面列印，內容依本案招標規格說明書，及本規範等招標文件所載需求與規定進行提案。</w:t>
      </w:r>
    </w:p>
    <w:p w14:paraId="02FE5789" w14:textId="7D1F5D59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11</w:t>
      </w:r>
      <w:r w:rsidR="00270B70">
        <w:rPr>
          <w:rFonts w:ascii="標楷體" w:eastAsia="標楷體" w:hAnsi="標楷體" w:cs="Times New Roman" w:hint="eastAsia"/>
          <w:sz w:val="28"/>
          <w:szCs w:val="28"/>
        </w:rPr>
        <w:t>4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270B70">
        <w:rPr>
          <w:rFonts w:ascii="標楷體" w:eastAsia="標楷體" w:hAnsi="標楷體" w:cs="Times New Roman" w:hint="eastAsia"/>
          <w:sz w:val="28"/>
          <w:szCs w:val="28"/>
        </w:rPr>
        <w:t>國</w:t>
      </w:r>
      <w:r w:rsidR="00121F55">
        <w:rPr>
          <w:rFonts w:ascii="標楷體" w:eastAsia="標楷體" w:hAnsi="標楷體" w:cs="Times New Roman" w:hint="eastAsia"/>
          <w:sz w:val="28"/>
          <w:szCs w:val="28"/>
        </w:rPr>
        <w:t>外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員工旅遊</w:t>
      </w:r>
      <w:r w:rsidRPr="00270B70">
        <w:rPr>
          <w:rFonts w:ascii="標楷體" w:eastAsia="標楷體" w:hAnsi="標楷體" w:cs="Times New Roman" w:hint="eastAsia"/>
          <w:sz w:val="28"/>
          <w:szCs w:val="28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7270E72D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洽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廠商澄清更正。</w:t>
      </w:r>
    </w:p>
    <w:p w14:paraId="7061A35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6CC3D9B4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使</w:t>
      </w: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用，若因影印品質及裝訂與原件有出入而影響評選結果者，由投標廠商自行負責。</w:t>
      </w:r>
    </w:p>
    <w:p w14:paraId="3083C8E6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4ABEF8CB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評定方式：</w:t>
      </w:r>
    </w:p>
    <w:p w14:paraId="1B5B6A67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轉換為序位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，再彙整合計各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廠商之序位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以序位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1D0D9F0D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2E9B80F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結果均無優勝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廠商者，本案廢標。</w:t>
      </w:r>
    </w:p>
    <w:p w14:paraId="1EAED235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1844C7">
        <w:rPr>
          <w:rFonts w:ascii="標楷體" w:eastAsia="標楷體" w:hAnsi="標楷體"/>
          <w:sz w:val="28"/>
          <w:szCs w:val="28"/>
        </w:rPr>
        <w:t>(</w:t>
      </w:r>
      <w:r w:rsidRPr="001844C7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1844C7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733"/>
        <w:gridCol w:w="750"/>
      </w:tblGrid>
      <w:tr w:rsidR="00201C53" w:rsidRPr="004B6E47" w14:paraId="32AAAF44" w14:textId="77777777" w:rsidTr="00E213F0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C2EC42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7EE71DF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7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93664E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EC8A690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7BBAE811" w14:textId="77777777" w:rsidTr="00E213F0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59128C15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3794ED4D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</w:tcPr>
          <w:p w14:paraId="67607D7C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844C7" w:rsidRPr="004B6E47" w14:paraId="57857CE9" w14:textId="77777777" w:rsidTr="00E213F0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4C65D534" w14:textId="7C369B8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7869397F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規劃執行能力</w:t>
            </w:r>
          </w:p>
          <w:p w14:paraId="77CFC38E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●人力配置規劃</w:t>
            </w:r>
          </w:p>
          <w:p w14:paraId="788E19B1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●執行團隊之相關經驗、學經歷及過去績效</w:t>
            </w:r>
          </w:p>
          <w:p w14:paraId="1C115A19" w14:textId="7E7C85EC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●計畫執行及管理能力</w:t>
            </w: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1F83A199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公司簡介</w:t>
            </w:r>
          </w:p>
          <w:p w14:paraId="17DB1C7D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業務範圍</w:t>
            </w:r>
          </w:p>
          <w:p w14:paraId="4BE099D6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人力、資本額</w:t>
            </w:r>
          </w:p>
          <w:p w14:paraId="027A89F4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執行團隊組織與工作分配</w:t>
            </w:r>
          </w:p>
          <w:p w14:paraId="320AF5A3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專案負責人及執行團隊成員經歷：包含現職、學經歷等</w:t>
            </w:r>
          </w:p>
          <w:p w14:paraId="696FC54C" w14:textId="697E3732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廠商履約實績：請詳述專案經驗及其成效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F0E4C6" w14:textId="052EDCC5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46FF76EE" w14:textId="77777777" w:rsidTr="00E213F0">
        <w:trPr>
          <w:jc w:val="center"/>
        </w:trPr>
        <w:tc>
          <w:tcPr>
            <w:tcW w:w="1056" w:type="dxa"/>
            <w:vAlign w:val="center"/>
          </w:tcPr>
          <w:p w14:paraId="3715CF96" w14:textId="0951A85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/>
              </w:rPr>
              <w:t>2</w:t>
            </w:r>
          </w:p>
        </w:tc>
        <w:tc>
          <w:tcPr>
            <w:tcW w:w="2560" w:type="dxa"/>
          </w:tcPr>
          <w:p w14:paraId="7DFB4F80" w14:textId="5061AB02" w:rsidR="001844C7" w:rsidRPr="004B6E47" w:rsidRDefault="001844C7" w:rsidP="001844C7">
            <w:pPr>
              <w:ind w:left="204" w:hangingChars="68" w:hanging="2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行程規劃</w:t>
            </w:r>
            <w:r w:rsidRPr="008C1A29"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、人力服務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2F929C50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1.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行程規劃(交通工具、景點</w:t>
            </w:r>
            <w:r>
              <w:rPr>
                <w:rFonts w:ascii="標楷體" w:eastAsia="標楷體" w:hAnsi="標楷體" w:cs="Times New Roman" w:hint="eastAsia"/>
              </w:rPr>
              <w:t>之搭配</w:t>
            </w:r>
            <w:r w:rsidRPr="008C1A29">
              <w:rPr>
                <w:rFonts w:ascii="標楷體" w:eastAsia="標楷體" w:hAnsi="標楷體" w:cs="Times New Roman" w:hint="eastAsia"/>
              </w:rPr>
              <w:t>選擇、時間配當) (20%)。</w:t>
            </w:r>
          </w:p>
          <w:p w14:paraId="268387D9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2.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服務人員素質與品質(司</w:t>
            </w:r>
            <w:r>
              <w:rPr>
                <w:rFonts w:ascii="標楷體" w:eastAsia="標楷體" w:hAnsi="標楷體" w:cs="Times New Roman" w:hint="eastAsia"/>
              </w:rPr>
              <w:t>機</w:t>
            </w:r>
            <w:r w:rsidRPr="008C1A29">
              <w:rPr>
                <w:rFonts w:ascii="標楷體" w:eastAsia="標楷體" w:hAnsi="標楷體" w:cs="Times New Roman" w:hint="eastAsia"/>
              </w:rPr>
              <w:t>、領隊</w:t>
            </w:r>
            <w:r>
              <w:rPr>
                <w:rFonts w:ascii="標楷體" w:eastAsia="標楷體" w:hAnsi="標楷體" w:cs="Times New Roman" w:hint="eastAsia"/>
              </w:rPr>
              <w:t>之經驗及</w:t>
            </w:r>
            <w:r w:rsidRPr="008C1A29">
              <w:rPr>
                <w:rFonts w:ascii="標楷體" w:eastAsia="標楷體" w:hAnsi="標楷體" w:cs="Times New Roman" w:hint="eastAsia"/>
              </w:rPr>
              <w:t>素質、帶隊特色、其他…) (10%)。</w:t>
            </w:r>
          </w:p>
          <w:p w14:paraId="21CF0273" w14:textId="1EFF610F" w:rsidR="001844C7" w:rsidRPr="00FB33D1" w:rsidRDefault="001844C7" w:rsidP="00FB33D1">
            <w:pPr>
              <w:widowControl/>
              <w:tabs>
                <w:tab w:val="left" w:pos="317"/>
              </w:tabs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3.</w:t>
            </w:r>
            <w:r w:rsidRPr="00FB33D1">
              <w:rPr>
                <w:rFonts w:ascii="標楷體" w:eastAsia="標楷體" w:hAnsi="標楷體" w:cs="Times New Roman" w:hint="eastAsia"/>
              </w:rPr>
              <w:tab/>
              <w:t>安全及應變措施(5%)。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D9DBA44" w14:textId="0118404C" w:rsidR="001844C7" w:rsidRPr="0050664E" w:rsidRDefault="0050664E" w:rsidP="001844C7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50664E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40</w:t>
            </w:r>
          </w:p>
        </w:tc>
      </w:tr>
      <w:tr w:rsidR="001844C7" w:rsidRPr="004B6E47" w14:paraId="07E8C2BC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51825317" w14:textId="639D08AF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560" w:type="dxa"/>
          </w:tcPr>
          <w:p w14:paraId="0FBA6FE7" w14:textId="64A9C847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住宿膳食</w:t>
            </w:r>
            <w:r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、車輛品質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CE61ED9" w14:textId="77777777" w:rsidR="001844C7" w:rsidRDefault="001844C7" w:rsidP="001844C7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遊覽車車齡</w:t>
            </w:r>
          </w:p>
          <w:p w14:paraId="0B04BEE3" w14:textId="77777777" w:rsid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住宿(住宿飯店、房間安排)</w:t>
            </w:r>
          </w:p>
          <w:p w14:paraId="7E639C86" w14:textId="2221F019" w:rsidR="001844C7" w:rsidRP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膳食(菜色式樣、餐廳衛生)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4E78B5F1" w14:textId="3914D22B" w:rsidR="001844C7" w:rsidRPr="004B6E47" w:rsidRDefault="0050664E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5C81DF53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07835428" w14:textId="75F6CAB9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560" w:type="dxa"/>
          </w:tcPr>
          <w:p w14:paraId="0941FF8E" w14:textId="77777777" w:rsidR="001844C7" w:rsidRPr="00577B2C" w:rsidRDefault="001844C7" w:rsidP="001844C7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經費合理性</w:t>
            </w:r>
          </w:p>
          <w:p w14:paraId="3F563189" w14:textId="43F59C7D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●相關費用估算與分配之合理性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68B72D42" w14:textId="37037D3E" w:rsidR="001844C7" w:rsidRPr="00FB33D1" w:rsidRDefault="001844C7" w:rsidP="00FB33D1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詳細編列各項經費之內容及運用之合理性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（</w:t>
            </w:r>
            <w:r w:rsidR="00270B70">
              <w:rPr>
                <w:rFonts w:ascii="標楷體" w:eastAsia="標楷體" w:hAnsi="標楷體" w:cs="Times New Roman" w:hint="eastAsia"/>
                <w:b/>
                <w:kern w:val="0"/>
              </w:rPr>
              <w:t>如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詳列各項工作項目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／物品／服務／人力</w:t>
            </w:r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Start"/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End"/>
            <w:r w:rsidRPr="00FB33D1">
              <w:rPr>
                <w:rFonts w:ascii="標楷體" w:eastAsia="標楷體" w:hAnsi="標楷體" w:cs="Times New Roman" w:hint="eastAsia"/>
                <w:b/>
              </w:rPr>
              <w:t>等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價格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明細）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56502AAC" w14:textId="2D411F03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577B2C">
              <w:rPr>
                <w:rFonts w:ascii="標楷體" w:eastAsia="標楷體" w:hAnsi="標楷體" w:cs="Times New Roman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6985657A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7D6160FE" w14:textId="24D8B491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560" w:type="dxa"/>
          </w:tcPr>
          <w:p w14:paraId="1BD2FB6B" w14:textId="4CD1D2BB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  <w:b/>
              </w:rPr>
              <w:t>詢</w:t>
            </w:r>
            <w:proofErr w:type="gramEnd"/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803F730" w14:textId="73B40244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投標廠商現場簡報與答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</w:rPr>
              <w:t>詢</w:t>
            </w:r>
            <w:proofErr w:type="gramEnd"/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B2EB293" w14:textId="204F0F3C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10</w:t>
            </w:r>
          </w:p>
        </w:tc>
      </w:tr>
      <w:tr w:rsidR="00201C53" w:rsidRPr="004B6E47" w14:paraId="686D7D9D" w14:textId="77777777" w:rsidTr="00E213F0">
        <w:trPr>
          <w:jc w:val="center"/>
        </w:trPr>
        <w:tc>
          <w:tcPr>
            <w:tcW w:w="8349" w:type="dxa"/>
            <w:gridSpan w:val="3"/>
            <w:tcBorders>
              <w:right w:val="single" w:sz="12" w:space="0" w:color="auto"/>
            </w:tcBorders>
          </w:tcPr>
          <w:p w14:paraId="3D92DC60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750" w:type="dxa"/>
            <w:tcBorders>
              <w:left w:val="single" w:sz="12" w:space="0" w:color="auto"/>
              <w:bottom w:val="single" w:sz="12" w:space="0" w:color="auto"/>
            </w:tcBorders>
          </w:tcPr>
          <w:p w14:paraId="461D2DA9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1844C7">
              <w:rPr>
                <w:rFonts w:ascii="標楷體" w:eastAsia="標楷體" w:hAnsi="標楷體" w:cs="Times New Roman"/>
                <w:b/>
                <w:kern w:val="2"/>
                <w:sz w:val="28"/>
                <w:szCs w:val="28"/>
              </w:rPr>
              <w:t>100</w:t>
            </w:r>
          </w:p>
        </w:tc>
      </w:tr>
    </w:tbl>
    <w:p w14:paraId="79C31B7D" w14:textId="77777777" w:rsidR="00201C53" w:rsidRDefault="00201C53" w:rsidP="00485ED5"/>
    <w:sectPr w:rsidR="00201C53" w:rsidSect="001844C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CCEEB" w14:textId="77777777" w:rsidR="008C630B" w:rsidRDefault="008C630B" w:rsidP="008C630B">
      <w:r>
        <w:separator/>
      </w:r>
    </w:p>
  </w:endnote>
  <w:endnote w:type="continuationSeparator" w:id="0">
    <w:p w14:paraId="1DCDD288" w14:textId="77777777" w:rsidR="008C630B" w:rsidRDefault="008C630B" w:rsidP="008C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9B09" w14:textId="77777777" w:rsidR="008C630B" w:rsidRDefault="008C630B" w:rsidP="008C630B">
      <w:r>
        <w:separator/>
      </w:r>
    </w:p>
  </w:footnote>
  <w:footnote w:type="continuationSeparator" w:id="0">
    <w:p w14:paraId="4C5E912C" w14:textId="77777777" w:rsidR="008C630B" w:rsidRDefault="008C630B" w:rsidP="008C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98F58D4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C44E83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147155"/>
    <w:multiLevelType w:val="hybridMultilevel"/>
    <w:tmpl w:val="60D2AE96"/>
    <w:lvl w:ilvl="0" w:tplc="3A3C64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7"/>
  </w:num>
  <w:num w:numId="2" w16cid:durableId="1583833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6"/>
  </w:num>
  <w:num w:numId="4" w16cid:durableId="1318529704">
    <w:abstractNumId w:val="8"/>
  </w:num>
  <w:num w:numId="5" w16cid:durableId="793913595">
    <w:abstractNumId w:val="4"/>
  </w:num>
  <w:num w:numId="6" w16cid:durableId="1311668927">
    <w:abstractNumId w:val="0"/>
  </w:num>
  <w:num w:numId="7" w16cid:durableId="1348025890">
    <w:abstractNumId w:val="5"/>
  </w:num>
  <w:num w:numId="8" w16cid:durableId="2069498555">
    <w:abstractNumId w:val="2"/>
  </w:num>
  <w:num w:numId="9" w16cid:durableId="196315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0D7D02"/>
    <w:rsid w:val="000E7FD8"/>
    <w:rsid w:val="00121F55"/>
    <w:rsid w:val="001844C7"/>
    <w:rsid w:val="00201C53"/>
    <w:rsid w:val="00270B70"/>
    <w:rsid w:val="00295D31"/>
    <w:rsid w:val="00352993"/>
    <w:rsid w:val="0050664E"/>
    <w:rsid w:val="0063367C"/>
    <w:rsid w:val="0079005B"/>
    <w:rsid w:val="00810539"/>
    <w:rsid w:val="00814C75"/>
    <w:rsid w:val="00870766"/>
    <w:rsid w:val="008C630B"/>
    <w:rsid w:val="00936B6F"/>
    <w:rsid w:val="00941DED"/>
    <w:rsid w:val="00B74F94"/>
    <w:rsid w:val="00BD45B0"/>
    <w:rsid w:val="00C64A77"/>
    <w:rsid w:val="00C9470A"/>
    <w:rsid w:val="00E213F0"/>
    <w:rsid w:val="00E76856"/>
    <w:rsid w:val="00F10DEB"/>
    <w:rsid w:val="00FB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E004A52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character" w:customStyle="1" w:styleId="MSGENFONTSTYLENAMETEMPLATEROLEMSGENFONTSTYLENAMEBYROLETEXT2MSGENFONTSTYLEMODIFERSIZE12">
    <w:name w:val="MSG_EN_FONT_STYLE_NAME_TEMPLATE_ROLE MSG_EN_FONT_STYLE_NAME_BY_ROLE_TEXT|2 + MSG_EN_FONT_STYLE_MODIFER_SIZE 12"/>
    <w:aliases w:val="MSG_EN_FONT_STYLE_MODIFER_SPACING 3"/>
    <w:basedOn w:val="a0"/>
    <w:rsid w:val="001844C7"/>
    <w:rPr>
      <w:rFonts w:ascii="新細明體" w:eastAsia="新細明體" w:hAnsi="新細明體" w:cs="新細明體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paragraph" w:styleId="a5">
    <w:name w:val="header"/>
    <w:basedOn w:val="a"/>
    <w:link w:val="a6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C63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C63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25C9-5C0F-420B-B378-95CE4C1D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16</cp:revision>
  <dcterms:created xsi:type="dcterms:W3CDTF">2023-08-16T05:42:00Z</dcterms:created>
  <dcterms:modified xsi:type="dcterms:W3CDTF">2025-07-16T08:43:00Z</dcterms:modified>
</cp:coreProperties>
</file>